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8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Pr="00A27BDC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16"/>
          <w:szCs w:val="16"/>
          <w:lang w:val="en-US"/>
        </w:rPr>
      </w:pPr>
    </w:p>
    <w:p w:rsidR="00EE26B5" w:rsidRPr="00826861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A27BDC" w:rsidRDefault="00907A8E" w:rsidP="00826861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</w:pPr>
      <w:r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  <w:t>Пансионат «БЕЛЫЙ ПАРУС</w:t>
      </w:r>
      <w:r w:rsidR="00E77BA9" w:rsidRPr="00A27BDC"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  <w:t>»</w:t>
      </w:r>
    </w:p>
    <w:p w:rsidR="00826861" w:rsidRPr="00907A8E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Cs/>
          <w:kern w:val="1"/>
          <w:sz w:val="8"/>
          <w:szCs w:val="8"/>
        </w:rPr>
      </w:pPr>
    </w:p>
    <w:p w:rsidR="004078FE" w:rsidRDefault="00907A8E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t>Пансионат «Белый Парус» - круглогодичного действия.  Особенностью его является местоположение на самом берегу Чер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ного моря, в живописном уголке </w:t>
      </w:r>
      <w:r w:rsidRP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города-курорта Анапа, в районе, называемом Высокий берег. 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 Прямо от пансионата идет спуск</w:t>
      </w:r>
      <w:r w:rsidRP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 к 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чистейшему пляжу. Совсем рядом </w:t>
      </w:r>
      <w:r w:rsidRP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t>находится уникальный парк «Ореховая р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оща» с реликтовыми деревьями и </w:t>
      </w:r>
      <w:r w:rsidRP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t>центральная Н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абережная. В 10 минутах ходьбы </w:t>
      </w:r>
      <w:r w:rsidRP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t>находится галечный пляж Малой Бухты.</w:t>
      </w:r>
    </w:p>
    <w:p w:rsidR="00907A8E" w:rsidRPr="003D7D60" w:rsidRDefault="00907A8E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Размещение:</w:t>
      </w:r>
    </w:p>
    <w:p w:rsidR="004078FE" w:rsidRPr="00A27BDC" w:rsidRDefault="00907A8E" w:rsidP="004078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5-ти этажный к</w:t>
      </w:r>
      <w:r w:rsidR="004078FE"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орпус.</w:t>
      </w:r>
      <w:r w:rsidRPr="0090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На Ваш выбор 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представлено 33 комфортабельных однокомнатных</w:t>
      </w:r>
      <w:r w:rsidRP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и двухкомнатных номеров, различной категории, в каждом из которых есть все для удобства и отдыха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.</w:t>
      </w:r>
    </w:p>
    <w:p w:rsidR="004078FE" w:rsidRPr="00A27BDC" w:rsidRDefault="004078FE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2-х местный стандартный номер.</w:t>
      </w:r>
      <w:r w:rsid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t> </w:t>
      </w:r>
      <w:r w:rsid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br/>
        <w:t>В номере: ванна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, туалет, ТВ, </w:t>
      </w:r>
      <w:r w:rsid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t>холодильник, сплит система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,</w:t>
      </w:r>
      <w:r w:rsidR="005C4709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телефон,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двуспальная или две раздельные кровати,</w:t>
      </w:r>
      <w:r w:rsid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балкон (дополнительных мест: 1)</w:t>
      </w:r>
    </w:p>
    <w:p w:rsidR="004078FE" w:rsidRPr="00A27BDC" w:rsidRDefault="00907A8E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4</w:t>
      </w:r>
      <w:r w:rsidR="004078FE"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-х м</w:t>
      </w:r>
      <w:r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естный 2-х комнатный номер.</w:t>
      </w:r>
      <w:r w:rsidR="004078FE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br/>
        <w:t>В номере: душ, туа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лет, ТВ, холодильник, сплит система, </w:t>
      </w:r>
      <w:r w:rsidR="005C4709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телефон, 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двуспальная и</w:t>
      </w:r>
      <w:r w:rsidRPr="00907A8E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две раздельные кровати 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балкон.</w:t>
      </w:r>
      <w:r w:rsidR="004078FE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 </w:t>
      </w:r>
    </w:p>
    <w:p w:rsidR="004078FE" w:rsidRPr="00A27BDC" w:rsidRDefault="00907A8E" w:rsidP="00907A8E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2</w:t>
      </w:r>
      <w:r w:rsidR="004078FE"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-х</w:t>
      </w:r>
      <w:r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местный </w:t>
      </w:r>
      <w:r w:rsidR="004078FE"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номер</w:t>
      </w:r>
      <w:r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студия</w:t>
      </w:r>
      <w:r w:rsidR="004078FE"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.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 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br/>
        <w:t>В номере: ванна</w:t>
      </w:r>
      <w:r w:rsidR="004078FE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, туал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ет, ТВ, холодильник, сплит система</w:t>
      </w:r>
      <w:r w:rsidR="004078FE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,</w:t>
      </w:r>
      <w:r w:rsidR="005C4709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телефон,</w:t>
      </w:r>
      <w:r w:rsidR="004078FE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</w:t>
      </w:r>
      <w:r w:rsidR="005C4709" w:rsidRPr="005C4709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двуспальная </w:t>
      </w:r>
      <w:r w:rsidR="005C4709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кровать, </w:t>
      </w:r>
      <w:r w:rsidR="004078FE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балкон. </w:t>
      </w:r>
    </w:p>
    <w:p w:rsidR="003D7D60" w:rsidRPr="00826861" w:rsidRDefault="003D7D60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Инфраструктура:</w:t>
      </w:r>
    </w:p>
    <w:p w:rsidR="007127E0" w:rsidRPr="007127E0" w:rsidRDefault="007127E0" w:rsidP="007127E0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Уютный зеленый дворик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к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афе-бар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б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анкетный зал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с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ауна с бассейном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д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етская площадка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д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етская игровая комната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д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етская кроватка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к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онференц-зал 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б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иблиотека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, </w:t>
      </w:r>
      <w:proofErr w:type="spellStart"/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Wi</w:t>
      </w:r>
      <w:proofErr w:type="spellEnd"/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</w:t>
      </w:r>
      <w:proofErr w:type="spellStart"/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Fi</w:t>
      </w:r>
      <w:proofErr w:type="spellEnd"/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в холле 1 этаже и в зале кафе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у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слуга хранения ценных вещей в сейфовых ячейках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р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азвлекательные и анимационные программы для детей и взрослых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, прокат инвентаря 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(нарды, шахматы, шашки, бадминтон, мячи, скакалки, лото, настольный теннис)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м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ассажный кабинет (классический массаж, косметический массаж, мануальная терапия, обертывания)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с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оляная комната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у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слуги охраняемой автостоянки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, у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слуги трансфера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, 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широкий выбо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р экскурсионных </w:t>
      </w:r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программ по историческим и памятным местам городов Анапы, Новороссийска, Геленджика, поселков Сукко, Большой </w:t>
      </w:r>
      <w:proofErr w:type="spellStart"/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Утриш</w:t>
      </w:r>
      <w:proofErr w:type="spellEnd"/>
      <w:r w:rsidRP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>, Абрау-Дюрсо.</w:t>
      </w:r>
    </w:p>
    <w:p w:rsidR="00A27BDC" w:rsidRPr="00A27BDC" w:rsidRDefault="00A27BDC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Водоснабжение:</w:t>
      </w:r>
      <w:r w:rsidRPr="00A27BDC">
        <w:rPr>
          <w:rFonts w:ascii="Arial" w:eastAsia="Arial Unicode MS" w:hAnsi="Arial" w:cs="Times New Roman"/>
          <w:b/>
          <w:kern w:val="1"/>
          <w:sz w:val="19"/>
          <w:szCs w:val="19"/>
        </w:rPr>
        <w:t xml:space="preserve"> </w:t>
      </w: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kern w:val="1"/>
          <w:sz w:val="19"/>
          <w:szCs w:val="19"/>
        </w:rPr>
        <w:t>Холодная, горячая вода постоянна.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Питание: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</w:p>
    <w:p w:rsidR="00826861" w:rsidRPr="00A27BDC" w:rsidRDefault="00C516BF" w:rsidP="00A27BDC">
      <w:pPr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Летнее кафе, ресторан. </w:t>
      </w:r>
      <w:r w:rsidR="00E151DA">
        <w:rPr>
          <w:rFonts w:ascii="Arial" w:eastAsia="Arial Unicode MS" w:hAnsi="Arial" w:cs="Arial"/>
          <w:bCs/>
          <w:iCs/>
          <w:kern w:val="1"/>
          <w:sz w:val="19"/>
          <w:szCs w:val="19"/>
        </w:rPr>
        <w:t>Завтрак</w:t>
      </w:r>
      <w:r w:rsidR="00E151DA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входит в стоимость</w:t>
      </w:r>
      <w:r w:rsidR="00E151DA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. 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По желанию 3-х </w:t>
      </w:r>
      <w:r w:rsidR="00E151DA">
        <w:rPr>
          <w:rFonts w:ascii="Arial" w:eastAsia="Arial Unicode MS" w:hAnsi="Arial" w:cs="Arial"/>
          <w:bCs/>
          <w:iCs/>
          <w:kern w:val="1"/>
          <w:sz w:val="19"/>
          <w:szCs w:val="19"/>
        </w:rPr>
        <w:t>разовое питание</w:t>
      </w:r>
      <w:r w:rsidR="007127E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60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0 руб</w:t>
      </w:r>
      <w:r w:rsidR="00E151DA">
        <w:rPr>
          <w:rFonts w:ascii="Arial" w:eastAsia="Arial Unicode MS" w:hAnsi="Arial" w:cs="Arial"/>
          <w:bCs/>
          <w:iCs/>
          <w:kern w:val="1"/>
          <w:sz w:val="19"/>
          <w:szCs w:val="19"/>
        </w:rPr>
        <w:t>.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/чел. 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Пляж:</w:t>
      </w:r>
    </w:p>
    <w:p w:rsidR="00826861" w:rsidRPr="00826861" w:rsidRDefault="00E151DA" w:rsidP="00A27BDC">
      <w:pPr>
        <w:widowControl w:val="0"/>
        <w:tabs>
          <w:tab w:val="num" w:pos="720"/>
        </w:tabs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kern w:val="1"/>
          <w:sz w:val="19"/>
          <w:szCs w:val="19"/>
        </w:rPr>
        <w:t xml:space="preserve">Пляж – </w:t>
      </w:r>
      <w:r w:rsidRPr="00E151DA">
        <w:rPr>
          <w:rFonts w:ascii="Arial" w:eastAsia="Arial Unicode MS" w:hAnsi="Arial" w:cs="Arial"/>
          <w:bCs/>
          <w:kern w:val="1"/>
          <w:sz w:val="19"/>
          <w:szCs w:val="19"/>
        </w:rPr>
        <w:t>галечный</w:t>
      </w:r>
      <w:r w:rsidR="00C516BF" w:rsidRPr="00A27BDC">
        <w:rPr>
          <w:rFonts w:ascii="Arial" w:eastAsia="Arial Unicode MS" w:hAnsi="Arial" w:cs="Arial"/>
          <w:kern w:val="1"/>
          <w:sz w:val="19"/>
          <w:szCs w:val="19"/>
        </w:rPr>
        <w:t xml:space="preserve"> в 5</w:t>
      </w:r>
      <w:r w:rsidR="003D7D60" w:rsidRPr="00A27BDC">
        <w:rPr>
          <w:rFonts w:ascii="Arial" w:eastAsia="Arial Unicode MS" w:hAnsi="Arial" w:cs="Arial"/>
          <w:kern w:val="1"/>
          <w:sz w:val="19"/>
          <w:szCs w:val="19"/>
        </w:rPr>
        <w:t>0 метрах. Прокат пляжного инвентаря</w:t>
      </w:r>
      <w:r w:rsidR="00C516BF" w:rsidRPr="00A27BDC">
        <w:rPr>
          <w:rFonts w:ascii="Arial" w:eastAsia="Arial Unicode MS" w:hAnsi="Arial" w:cs="Arial"/>
          <w:kern w:val="1"/>
          <w:sz w:val="19"/>
          <w:szCs w:val="19"/>
        </w:rPr>
        <w:t>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Дети: </w:t>
      </w:r>
    </w:p>
    <w:p w:rsidR="00826861" w:rsidRPr="00A27BDC" w:rsidRDefault="00E151DA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Дети до 4 лет </w:t>
      </w:r>
      <w:r w:rsidR="00A27BDC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без места и питания опл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ачивают коммунальные услуги - 300 руб./сутки и проезд на автобусе.</w:t>
      </w:r>
    </w:p>
    <w:p w:rsidR="00A27BDC" w:rsidRPr="00A27BDC" w:rsidRDefault="00A27BDC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Расчетный час: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  <w:r w:rsidR="00E151DA">
        <w:rPr>
          <w:rFonts w:ascii="Arial" w:eastAsia="Arial Unicode MS" w:hAnsi="Arial" w:cs="Times New Roman"/>
          <w:kern w:val="1"/>
          <w:sz w:val="19"/>
          <w:szCs w:val="19"/>
        </w:rPr>
        <w:t>заезд с 13:00 выезд до 10:0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>0</w:t>
      </w:r>
    </w:p>
    <w:p w:rsidR="00826861" w:rsidRPr="00A27BDC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100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1559"/>
        <w:gridCol w:w="2552"/>
        <w:gridCol w:w="1417"/>
        <w:gridCol w:w="1985"/>
      </w:tblGrid>
      <w:tr w:rsidR="005672F4" w:rsidRPr="00826861" w:rsidTr="005672F4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2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72F4" w:rsidRPr="000768E4" w:rsidRDefault="00E151DA" w:rsidP="000768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</w:t>
            </w:r>
          </w:p>
          <w:p w:rsidR="005672F4" w:rsidRPr="00826861" w:rsidRDefault="005672F4" w:rsidP="000768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5672F4" w:rsidRDefault="00E151DA" w:rsidP="00E151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4-х местный</w:t>
            </w:r>
          </w:p>
          <w:p w:rsidR="005672F4" w:rsidRPr="00826861" w:rsidRDefault="00E151DA" w:rsidP="005672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комнатный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5672F4" w:rsidRDefault="00E151DA" w:rsidP="005672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</w:t>
            </w:r>
          </w:p>
          <w:p w:rsidR="005672F4" w:rsidRDefault="00E151DA" w:rsidP="005672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студия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5672F4" w:rsidRDefault="005672F4" w:rsidP="005672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5672F4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Доп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.</w:t>
            </w:r>
            <w:r w:rsidRPr="005672F4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место в </w:t>
            </w:r>
          </w:p>
          <w:p w:rsidR="005672F4" w:rsidRPr="005672F4" w:rsidRDefault="005672F4" w:rsidP="005672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2-х местном </w:t>
            </w:r>
          </w:p>
        </w:tc>
      </w:tr>
      <w:tr w:rsidR="005672F4" w:rsidRPr="00826861" w:rsidTr="005672F4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12.06-21.06.2017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64AC" w:rsidRDefault="001F3FF7" w:rsidP="00A364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14400</w:t>
            </w:r>
          </w:p>
        </w:tc>
      </w:tr>
      <w:tr w:rsidR="005672F4" w:rsidRPr="00826861" w:rsidTr="005672F4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19.06-28.06.2017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14400</w:t>
            </w:r>
          </w:p>
        </w:tc>
      </w:tr>
      <w:tr w:rsidR="005672F4" w:rsidRPr="00826861" w:rsidTr="005672F4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26.06-05.07.2017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17600</w:t>
            </w:r>
          </w:p>
        </w:tc>
      </w:tr>
      <w:tr w:rsidR="005672F4" w:rsidRPr="00826861" w:rsidTr="005672F4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03.07-12.07.2017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17600</w:t>
            </w:r>
          </w:p>
        </w:tc>
      </w:tr>
      <w:tr w:rsidR="005672F4" w:rsidRPr="00826861" w:rsidTr="005672F4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10.07-19.07.2017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17600</w:t>
            </w:r>
          </w:p>
        </w:tc>
      </w:tr>
      <w:tr w:rsidR="005672F4" w:rsidRPr="00826861" w:rsidTr="005672F4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17.07-26.07.2017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</w:tcPr>
          <w:p w:rsidR="005672F4" w:rsidRPr="00826861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17600</w:t>
            </w:r>
          </w:p>
        </w:tc>
      </w:tr>
      <w:tr w:rsidR="005672F4" w:rsidRPr="00826861" w:rsidTr="005672F4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24.07-02.08.2017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17600</w:t>
            </w:r>
          </w:p>
        </w:tc>
      </w:tr>
      <w:tr w:rsidR="005672F4" w:rsidRPr="00826861" w:rsidTr="005672F4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31.07-09.08.2017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17600</w:t>
            </w:r>
          </w:p>
        </w:tc>
      </w:tr>
      <w:tr w:rsidR="005672F4" w:rsidRPr="00826861" w:rsidTr="005672F4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07.08-16.08.2017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672F4" w:rsidRPr="00826861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17600</w:t>
            </w:r>
          </w:p>
        </w:tc>
      </w:tr>
      <w:tr w:rsidR="005672F4" w:rsidRPr="00826861" w:rsidTr="005672F4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1365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14.08-23.08.2017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17600</w:t>
            </w:r>
          </w:p>
        </w:tc>
      </w:tr>
      <w:tr w:rsidR="005672F4" w:rsidRPr="00826861" w:rsidTr="005672F4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21.08-30.08.2017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17600</w:t>
            </w:r>
          </w:p>
        </w:tc>
      </w:tr>
      <w:tr w:rsidR="005672F4" w:rsidRPr="00826861" w:rsidTr="005672F4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28.08-06.09.2017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17600</w:t>
            </w:r>
          </w:p>
        </w:tc>
      </w:tr>
      <w:tr w:rsidR="005672F4" w:rsidRPr="00826861" w:rsidTr="005672F4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04.09-13.09.2017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14400</w:t>
            </w:r>
          </w:p>
        </w:tc>
      </w:tr>
      <w:tr w:rsidR="005672F4" w:rsidRPr="00826861" w:rsidTr="005672F4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2F4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11.09.-20.09.2017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1F3FF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14400</w:t>
            </w:r>
            <w:bookmarkStart w:id="0" w:name="_GoBack"/>
            <w:bookmarkEnd w:id="0"/>
          </w:p>
        </w:tc>
      </w:tr>
    </w:tbl>
    <w:p w:rsidR="00EE20ED" w:rsidRPr="00E151DA" w:rsidRDefault="003D7D60" w:rsidP="00E151D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В </w:t>
      </w:r>
      <w:r w:rsidR="00826861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стоимость </w:t>
      </w:r>
      <w:r w:rsidR="00343742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входит:</w:t>
      </w:r>
      <w:r w:rsidR="00343742"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  <w:r w:rsidR="00E151DA" w:rsidRPr="00E151DA">
        <w:rPr>
          <w:rFonts w:ascii="Arial" w:eastAsia="Arial Unicode MS" w:hAnsi="Arial" w:cs="Times New Roman"/>
          <w:kern w:val="1"/>
          <w:sz w:val="19"/>
          <w:szCs w:val="19"/>
        </w:rPr>
        <w:t>проживание в номерах выбранной категории, завтрак, сейф, стоянка, детская площадка, дет</w:t>
      </w:r>
      <w:r w:rsidR="00E151DA">
        <w:rPr>
          <w:rFonts w:ascii="Arial" w:eastAsia="Arial Unicode MS" w:hAnsi="Arial" w:cs="Times New Roman"/>
          <w:kern w:val="1"/>
          <w:sz w:val="19"/>
          <w:szCs w:val="19"/>
        </w:rPr>
        <w:t xml:space="preserve">ская площадка, </w:t>
      </w:r>
      <w:r w:rsidR="00E151DA" w:rsidRPr="00E151DA">
        <w:rPr>
          <w:rFonts w:ascii="Arial" w:eastAsia="Arial Unicode MS" w:hAnsi="Arial" w:cs="Times New Roman"/>
          <w:kern w:val="1"/>
          <w:sz w:val="19"/>
          <w:szCs w:val="19"/>
        </w:rPr>
        <w:t>проезд на комфортабельном автобусе, чай</w:t>
      </w:r>
      <w:r w:rsidR="00E151DA">
        <w:rPr>
          <w:rFonts w:ascii="Arial" w:eastAsia="Arial Unicode MS" w:hAnsi="Arial" w:cs="Times New Roman"/>
          <w:kern w:val="1"/>
          <w:sz w:val="19"/>
          <w:szCs w:val="19"/>
        </w:rPr>
        <w:t xml:space="preserve">, </w:t>
      </w:r>
      <w:r w:rsidR="00E151DA" w:rsidRPr="00E151DA">
        <w:rPr>
          <w:rFonts w:ascii="Arial" w:eastAsia="Arial Unicode MS" w:hAnsi="Arial" w:cs="Times New Roman"/>
          <w:kern w:val="1"/>
          <w:sz w:val="19"/>
          <w:szCs w:val="19"/>
        </w:rPr>
        <w:t>кофе на время переезда, страховка на время проезда.</w:t>
      </w:r>
    </w:p>
    <w:sectPr w:rsidR="00EE20ED" w:rsidRPr="00E151DA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D20"/>
    <w:multiLevelType w:val="hybridMultilevel"/>
    <w:tmpl w:val="38E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84994"/>
    <w:multiLevelType w:val="multilevel"/>
    <w:tmpl w:val="10A4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0768E4"/>
    <w:rsid w:val="001365E7"/>
    <w:rsid w:val="001A6075"/>
    <w:rsid w:val="001F3FF7"/>
    <w:rsid w:val="002902F9"/>
    <w:rsid w:val="00316DA2"/>
    <w:rsid w:val="00343742"/>
    <w:rsid w:val="003D7D60"/>
    <w:rsid w:val="004078FE"/>
    <w:rsid w:val="005672F4"/>
    <w:rsid w:val="005C4709"/>
    <w:rsid w:val="006D7B23"/>
    <w:rsid w:val="007127E0"/>
    <w:rsid w:val="0076143D"/>
    <w:rsid w:val="00826861"/>
    <w:rsid w:val="00876DC8"/>
    <w:rsid w:val="00907A8E"/>
    <w:rsid w:val="00A27BDC"/>
    <w:rsid w:val="00A364AC"/>
    <w:rsid w:val="00B00D1C"/>
    <w:rsid w:val="00B268E0"/>
    <w:rsid w:val="00B40F30"/>
    <w:rsid w:val="00B6185D"/>
    <w:rsid w:val="00C516BF"/>
    <w:rsid w:val="00C82F50"/>
    <w:rsid w:val="00E151DA"/>
    <w:rsid w:val="00E77BA9"/>
    <w:rsid w:val="00EE20ED"/>
    <w:rsid w:val="00EE26B5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B0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tur-oz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ktur-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F9A8-6267-49C2-BD01-EF843941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2017-01-12T06:54:00Z</dcterms:created>
  <dcterms:modified xsi:type="dcterms:W3CDTF">2017-01-12T07:25:00Z</dcterms:modified>
</cp:coreProperties>
</file>